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C9955E">
      <w:pPr>
        <w:jc w:val="center"/>
        <w:rPr>
          <w:sz w:val="36"/>
        </w:rPr>
      </w:pPr>
      <w:r>
        <w:rPr>
          <w:sz w:val="36"/>
        </w:rPr>
        <w:t>中国科学技术大学国家同步辐射实验室</w:t>
      </w:r>
    </w:p>
    <w:p w14:paraId="0973E65B">
      <w:pPr>
        <w:jc w:val="center"/>
        <w:rPr>
          <w:sz w:val="36"/>
        </w:rPr>
      </w:pPr>
      <w:r>
        <w:rPr>
          <w:rFonts w:hint="eastAsia"/>
          <w:sz w:val="36"/>
        </w:rPr>
        <w:t>技术指标供应商确认表</w:t>
      </w:r>
    </w:p>
    <w:p w14:paraId="3E58F52B"/>
    <w:tbl>
      <w:tblPr>
        <w:tblStyle w:val="6"/>
        <w:tblW w:w="9781" w:type="dxa"/>
        <w:tblInd w:w="-5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5"/>
        <w:gridCol w:w="1422"/>
        <w:gridCol w:w="5244"/>
        <w:gridCol w:w="1418"/>
        <w:gridCol w:w="992"/>
      </w:tblGrid>
      <w:tr w14:paraId="3979FF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976" w:hRule="atLeast"/>
        </w:trPr>
        <w:tc>
          <w:tcPr>
            <w:tcW w:w="705" w:type="dxa"/>
            <w:vAlign w:val="center"/>
          </w:tcPr>
          <w:p w14:paraId="75C250BA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序号</w:t>
            </w:r>
          </w:p>
        </w:tc>
        <w:tc>
          <w:tcPr>
            <w:tcW w:w="1422" w:type="dxa"/>
            <w:vAlign w:val="center"/>
          </w:tcPr>
          <w:p w14:paraId="3A9FF52B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名称</w:t>
            </w:r>
          </w:p>
        </w:tc>
        <w:tc>
          <w:tcPr>
            <w:tcW w:w="5244" w:type="dxa"/>
            <w:vAlign w:val="center"/>
          </w:tcPr>
          <w:p w14:paraId="258D475E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技术指标</w:t>
            </w:r>
          </w:p>
        </w:tc>
        <w:tc>
          <w:tcPr>
            <w:tcW w:w="1418" w:type="dxa"/>
            <w:vAlign w:val="center"/>
          </w:tcPr>
          <w:p w14:paraId="37F7A556">
            <w:pPr>
              <w:spacing w:line="240" w:lineRule="atLeas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偏离说明</w:t>
            </w:r>
          </w:p>
          <w:p w14:paraId="328E92F5">
            <w:pPr>
              <w:spacing w:line="240" w:lineRule="atLeast"/>
              <w:jc w:val="center"/>
              <w:rPr>
                <w:sz w:val="24"/>
              </w:rPr>
            </w:pPr>
            <w:r>
              <w:rPr>
                <w:rFonts w:hint="eastAsia"/>
                <w:szCs w:val="21"/>
              </w:rPr>
              <w:t>(</w:t>
            </w:r>
            <w:r>
              <w:rPr>
                <w:szCs w:val="21"/>
              </w:rPr>
              <w:t>无偏离</w:t>
            </w:r>
            <w:r>
              <w:rPr>
                <w:rFonts w:hint="eastAsia"/>
                <w:szCs w:val="21"/>
              </w:rPr>
              <w:t>/</w:t>
            </w:r>
            <w:r>
              <w:rPr>
                <w:szCs w:val="21"/>
              </w:rPr>
              <w:t>正偏离</w:t>
            </w:r>
            <w:r>
              <w:rPr>
                <w:rFonts w:hint="eastAsia"/>
                <w:szCs w:val="21"/>
              </w:rPr>
              <w:t>/</w:t>
            </w:r>
            <w:r>
              <w:rPr>
                <w:szCs w:val="21"/>
              </w:rPr>
              <w:t>负偏离</w:t>
            </w:r>
            <w:r>
              <w:rPr>
                <w:rFonts w:hint="eastAsia"/>
                <w:szCs w:val="21"/>
              </w:rPr>
              <w:t>)</w:t>
            </w:r>
          </w:p>
        </w:tc>
        <w:tc>
          <w:tcPr>
            <w:tcW w:w="992" w:type="dxa"/>
            <w:vAlign w:val="center"/>
          </w:tcPr>
          <w:p w14:paraId="22A89C1E">
            <w:pPr>
              <w:spacing w:line="24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2"/>
              </w:rPr>
              <w:t>偏离值</w:t>
            </w:r>
          </w:p>
        </w:tc>
      </w:tr>
      <w:tr w14:paraId="394384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3" w:hRule="atLeast"/>
        </w:trPr>
        <w:tc>
          <w:tcPr>
            <w:tcW w:w="705" w:type="dxa"/>
            <w:vAlign w:val="center"/>
          </w:tcPr>
          <w:p w14:paraId="185CA09D">
            <w:pPr>
              <w:spacing w:line="240" w:lineRule="atLeast"/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422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2C492426">
            <w:pPr>
              <w:tabs>
                <w:tab w:val="left" w:pos="6915"/>
              </w:tabs>
              <w:jc w:val="center"/>
              <w:rPr>
                <w:rFonts w:hint="eastAsia" w:ascii="Arial" w:hAnsi="Arial" w:eastAsia="宋体" w:cs="Arial"/>
                <w:b w:val="0"/>
                <w:bCs w:val="0"/>
                <w:szCs w:val="21"/>
                <w:shd w:val="clear" w:color="auto" w:fill="FFFFFF"/>
                <w:lang w:eastAsia="zh-CN"/>
              </w:rPr>
            </w:pPr>
            <w:r>
              <w:rPr>
                <w:rFonts w:hint="eastAsia" w:ascii="Arial" w:hAnsi="Arial" w:eastAsia="宋体" w:cs="Arial"/>
                <w:b w:val="0"/>
                <w:bCs w:val="0"/>
                <w:szCs w:val="21"/>
                <w:shd w:val="clear" w:color="auto" w:fill="FFFFFF"/>
              </w:rPr>
              <w:t>实时监测模块</w:t>
            </w:r>
          </w:p>
          <w:p w14:paraId="15FBA9EE">
            <w:pPr>
              <w:widowControl/>
              <w:spacing w:line="240" w:lineRule="atLeast"/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5244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2D627137">
            <w:pPr>
              <w:tabs>
                <w:tab w:val="left" w:pos="6915"/>
              </w:tabs>
              <w:jc w:val="left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采购20套实时监测模块，用于集成至现有的脉冲功率源系统。该模块需基于Red Pitaya STEMlab 125-14-4平台构建，具备对系统高压电压的实时采集能力，支持逐脉冲采样与全过程趋势记录，能够对脉冲稳定性进行持续、动态的在线分析并输出量化稳定性数据。同时，实时监测模块需提EPICS系统接入接口，满足系统运维需求。</w:t>
            </w:r>
          </w:p>
          <w:p w14:paraId="1169DF2B">
            <w:pPr>
              <w:tabs>
                <w:tab w:val="left" w:pos="6915"/>
              </w:tabs>
              <w:jc w:val="left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每套实时监测模块的相关技术参数如下：</w:t>
            </w:r>
          </w:p>
          <w:p w14:paraId="25A32C38">
            <w:pPr>
              <w:tabs>
                <w:tab w:val="left" w:pos="6915"/>
              </w:tabs>
              <w:jc w:val="left"/>
              <w:rPr>
                <w:rFonts w:hint="eastAsia" w:ascii="宋体" w:hAnsi="宋体"/>
                <w:bCs/>
                <w:szCs w:val="21"/>
              </w:rPr>
            </w:pPr>
            <w:bookmarkStart w:id="0" w:name="OLE_LINK1"/>
            <w:r>
              <w:rPr>
                <w:rFonts w:hint="eastAsia" w:ascii="宋体" w:hAnsi="宋体"/>
                <w:bCs/>
                <w:szCs w:val="21"/>
              </w:rPr>
              <w:t>1：输入电压：-40V</w:t>
            </w:r>
          </w:p>
          <w:p w14:paraId="7FE431A3">
            <w:pPr>
              <w:tabs>
                <w:tab w:val="left" w:pos="6915"/>
              </w:tabs>
              <w:jc w:val="left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2. 输入通道：4 路 ADC，采样率125 MS/s，分辨率14 bit</w:t>
            </w:r>
          </w:p>
          <w:p w14:paraId="70513D7D">
            <w:pPr>
              <w:tabs>
                <w:tab w:val="left" w:pos="6915"/>
              </w:tabs>
              <w:jc w:val="left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3. 输出电压：±1V</w:t>
            </w:r>
          </w:p>
          <w:p w14:paraId="77B0C73D">
            <w:pPr>
              <w:tabs>
                <w:tab w:val="left" w:pos="6915"/>
              </w:tabs>
              <w:jc w:val="left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4. 测量分辨率（设计保证指标）：小于10ppm</w:t>
            </w:r>
          </w:p>
          <w:p w14:paraId="53D85F7A">
            <w:pPr>
              <w:tabs>
                <w:tab w:val="left" w:pos="6915"/>
              </w:tabs>
              <w:jc w:val="left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5. 具有脉冲波形实时采样功能</w:t>
            </w:r>
          </w:p>
          <w:p w14:paraId="2ED3AFF3">
            <w:pPr>
              <w:tabs>
                <w:tab w:val="left" w:pos="6915"/>
              </w:tabs>
              <w:jc w:val="left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6. 具有稳定度实时测量功能</w:t>
            </w:r>
          </w:p>
          <w:p w14:paraId="0A11D4F2">
            <w:pPr>
              <w:tabs>
                <w:tab w:val="left" w:pos="6915"/>
              </w:tabs>
              <w:jc w:val="left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7. 支持外部时钟同步</w:t>
            </w:r>
          </w:p>
          <w:p w14:paraId="010F9A9A">
            <w:pPr>
              <w:tabs>
                <w:tab w:val="left" w:pos="6915"/>
              </w:tabs>
              <w:jc w:val="left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8. 具有与EPICS远控系统集成功能</w:t>
            </w:r>
            <w:bookmarkEnd w:id="0"/>
          </w:p>
          <w:p w14:paraId="4EAAC94E">
            <w:pPr>
              <w:tabs>
                <w:tab w:val="left" w:pos="6915"/>
              </w:tabs>
              <w:jc w:val="left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安装结构尺寸要求：实时监测模块安装到1</w:t>
            </w:r>
            <w:r>
              <w:rPr>
                <w:bCs/>
                <w:szCs w:val="21"/>
              </w:rPr>
              <w:t>9</w:t>
            </w:r>
            <w:r>
              <w:rPr>
                <w:rFonts w:hint="eastAsia"/>
                <w:bCs/>
                <w:szCs w:val="21"/>
              </w:rPr>
              <w:t>英寸标准机柜内，高度小于等于3</w:t>
            </w:r>
            <w:r>
              <w:rPr>
                <w:bCs/>
                <w:szCs w:val="21"/>
              </w:rPr>
              <w:t>U,</w:t>
            </w:r>
            <w:r>
              <w:rPr>
                <w:rFonts w:hint="eastAsia"/>
                <w:bCs/>
                <w:szCs w:val="21"/>
              </w:rPr>
              <w:t>深度小于4</w:t>
            </w:r>
            <w:r>
              <w:rPr>
                <w:bCs/>
                <w:szCs w:val="21"/>
              </w:rPr>
              <w:t>50</w:t>
            </w:r>
            <w:r>
              <w:rPr>
                <w:rFonts w:hint="eastAsia"/>
                <w:bCs/>
                <w:szCs w:val="21"/>
              </w:rPr>
              <w:t>mm。</w:t>
            </w:r>
          </w:p>
          <w:p w14:paraId="3ED04ECF">
            <w:pPr>
              <w:tabs>
                <w:tab w:val="left" w:pos="6915"/>
              </w:tabs>
              <w:jc w:val="left"/>
              <w:rPr>
                <w:rFonts w:ascii="Arial" w:hAnsi="Arial" w:eastAsia="宋体" w:cs="Arial"/>
                <w:szCs w:val="21"/>
                <w:shd w:val="clear" w:color="auto" w:fill="FFFFFF"/>
              </w:rPr>
            </w:pPr>
            <w:r>
              <w:rPr>
                <w:rFonts w:hint="eastAsia"/>
                <w:bCs/>
                <w:szCs w:val="21"/>
              </w:rPr>
              <w:t>需要提供系统安装必要的连接电缆。</w:t>
            </w:r>
          </w:p>
        </w:tc>
        <w:tc>
          <w:tcPr>
            <w:tcW w:w="1418" w:type="dxa"/>
            <w:vAlign w:val="center"/>
          </w:tcPr>
          <w:p w14:paraId="205FF5AB">
            <w:pPr>
              <w:spacing w:line="240" w:lineRule="atLeast"/>
              <w:jc w:val="center"/>
            </w:pPr>
          </w:p>
        </w:tc>
        <w:tc>
          <w:tcPr>
            <w:tcW w:w="992" w:type="dxa"/>
            <w:vAlign w:val="center"/>
          </w:tcPr>
          <w:p w14:paraId="1C60665B">
            <w:pPr>
              <w:spacing w:line="240" w:lineRule="atLeast"/>
              <w:jc w:val="center"/>
            </w:pPr>
          </w:p>
        </w:tc>
      </w:tr>
      <w:tr w14:paraId="497EA6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1" w:hRule="atLeast"/>
        </w:trPr>
        <w:tc>
          <w:tcPr>
            <w:tcW w:w="705" w:type="dxa"/>
            <w:vAlign w:val="center"/>
          </w:tcPr>
          <w:p w14:paraId="21D5CC9B">
            <w:pPr>
              <w:spacing w:line="240" w:lineRule="atLeast"/>
              <w:jc w:val="center"/>
            </w:pPr>
            <w:r>
              <w:t>2</w:t>
            </w:r>
          </w:p>
        </w:tc>
        <w:tc>
          <w:tcPr>
            <w:tcW w:w="14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17188C">
            <w:pPr>
              <w:widowControl/>
              <w:spacing w:line="240" w:lineRule="atLeast"/>
              <w:jc w:val="center"/>
            </w:pPr>
            <w:r>
              <w:rPr>
                <w:rFonts w:hint="eastAsia"/>
              </w:rPr>
              <w:t>商务条款</w:t>
            </w:r>
          </w:p>
        </w:tc>
        <w:tc>
          <w:tcPr>
            <w:tcW w:w="52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826E3E">
            <w:pPr>
              <w:tabs>
                <w:tab w:val="left" w:pos="6915"/>
              </w:tabs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/>
                <w:b/>
                <w:szCs w:val="21"/>
              </w:rPr>
              <w:t>交货期</w:t>
            </w:r>
            <w:r>
              <w:rPr>
                <w:rFonts w:hint="eastAsia" w:ascii="宋体" w:hAnsi="宋体"/>
                <w:b/>
                <w:szCs w:val="21"/>
              </w:rPr>
              <w:t>：</w:t>
            </w:r>
            <w:r>
              <w:rPr>
                <w:rFonts w:hint="eastAsia" w:ascii="宋体" w:hAnsi="宋体"/>
                <w:b w:val="0"/>
                <w:bCs/>
                <w:szCs w:val="21"/>
                <w:lang w:val="en-US" w:eastAsia="zh-CN"/>
              </w:rPr>
              <w:t>合同签订后</w:t>
            </w:r>
            <w:r>
              <w:rPr>
                <w:rFonts w:ascii="宋体" w:hAnsi="宋体"/>
                <w:bCs/>
                <w:szCs w:val="21"/>
              </w:rPr>
              <w:t>3</w:t>
            </w:r>
            <w:r>
              <w:rPr>
                <w:rFonts w:hint="eastAsia" w:ascii="宋体" w:hAnsi="宋体"/>
                <w:bCs/>
                <w:szCs w:val="21"/>
              </w:rPr>
              <w:t>个月内。</w:t>
            </w:r>
          </w:p>
          <w:p w14:paraId="379C6791">
            <w:pPr>
              <w:tabs>
                <w:tab w:val="left" w:pos="6915"/>
              </w:tabs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/>
                <w:b/>
                <w:szCs w:val="21"/>
              </w:rPr>
              <w:t>交付进度</w:t>
            </w:r>
            <w:r>
              <w:rPr>
                <w:rFonts w:hint="eastAsia" w:ascii="宋体" w:hAnsi="宋体"/>
                <w:b/>
                <w:szCs w:val="21"/>
              </w:rPr>
              <w:t>：</w:t>
            </w:r>
            <w:r>
              <w:rPr>
                <w:rFonts w:hint="eastAsia" w:ascii="宋体" w:hAnsi="宋体"/>
                <w:bCs/>
                <w:szCs w:val="21"/>
              </w:rPr>
              <w:t>供货方于合同生效之日起</w:t>
            </w:r>
            <w:r>
              <w:rPr>
                <w:rFonts w:ascii="宋体" w:hAnsi="宋体"/>
                <w:bCs/>
                <w:szCs w:val="21"/>
              </w:rPr>
              <w:t>3</w:t>
            </w:r>
            <w:r>
              <w:rPr>
                <w:rFonts w:hint="eastAsia" w:ascii="宋体" w:hAnsi="宋体"/>
                <w:bCs/>
                <w:szCs w:val="21"/>
              </w:rPr>
              <w:t>个月内将货物送达至采购方指定地点。</w:t>
            </w:r>
          </w:p>
          <w:p w14:paraId="161F788E">
            <w:pPr>
              <w:tabs>
                <w:tab w:val="left" w:pos="6915"/>
              </w:tabs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/>
                <w:b/>
                <w:szCs w:val="21"/>
              </w:rPr>
              <w:t>付款方式</w:t>
            </w:r>
            <w:r>
              <w:rPr>
                <w:rFonts w:hint="eastAsia" w:ascii="宋体" w:hAnsi="宋体"/>
                <w:b/>
                <w:szCs w:val="21"/>
              </w:rPr>
              <w:t>：</w:t>
            </w:r>
            <w:r>
              <w:rPr>
                <w:rFonts w:hint="eastAsia" w:ascii="宋体" w:hAnsi="宋体"/>
                <w:bCs/>
                <w:szCs w:val="21"/>
              </w:rPr>
              <w:t>签订合同后预付</w:t>
            </w:r>
            <w:r>
              <w:rPr>
                <w:rFonts w:hint="eastAsia" w:ascii="宋体" w:hAnsi="宋体"/>
                <w:bCs/>
                <w:szCs w:val="21"/>
                <w:lang w:val="en-US" w:eastAsia="zh-CN"/>
              </w:rPr>
              <w:t>合同总额的</w:t>
            </w:r>
            <w:r>
              <w:rPr>
                <w:rFonts w:ascii="宋体" w:hAnsi="宋体"/>
                <w:bCs/>
                <w:szCs w:val="21"/>
              </w:rPr>
              <w:t>4</w:t>
            </w:r>
            <w:r>
              <w:rPr>
                <w:rFonts w:hint="eastAsia" w:ascii="宋体" w:hAnsi="宋体"/>
                <w:bCs/>
                <w:szCs w:val="21"/>
              </w:rPr>
              <w:t>0%；货到验收合格后30个工作日内付清</w:t>
            </w:r>
            <w:r>
              <w:rPr>
                <w:rFonts w:hint="eastAsia" w:ascii="宋体" w:hAnsi="宋体"/>
                <w:bCs/>
                <w:szCs w:val="21"/>
                <w:lang w:val="en-US" w:eastAsia="zh-CN"/>
              </w:rPr>
              <w:t>合同尾款</w:t>
            </w:r>
            <w:r>
              <w:rPr>
                <w:rFonts w:hint="eastAsia" w:ascii="宋体" w:hAnsi="宋体"/>
                <w:bCs/>
                <w:szCs w:val="21"/>
              </w:rPr>
              <w:t>。</w:t>
            </w:r>
          </w:p>
          <w:p w14:paraId="3364DAC1">
            <w:pPr>
              <w:tabs>
                <w:tab w:val="left" w:pos="6915"/>
              </w:tabs>
              <w:jc w:val="left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验收指标及验收要求：</w:t>
            </w:r>
            <w:r>
              <w:rPr>
                <w:rFonts w:hint="eastAsia"/>
                <w:szCs w:val="21"/>
              </w:rPr>
              <w:t>按技术参数指标进行设计保证和功能实现，</w:t>
            </w:r>
            <w:r>
              <w:rPr>
                <w:rFonts w:hint="eastAsia" w:ascii="宋体" w:hAnsi="宋体"/>
                <w:bCs/>
                <w:szCs w:val="21"/>
              </w:rPr>
              <w:t>技术人员需要配合进行联合调试，技术参数须满足最终系统整体测试要求。验收期间，货物数量、规格型号等与描述的技术参数要求不符，或存在质量问题的，供货方应在接到采购方异议之日起 3日内更换合格产品重新交付至采购方指定地点，并承担因此而发生的相关费用。</w:t>
            </w:r>
          </w:p>
          <w:p w14:paraId="018E3601">
            <w:pPr>
              <w:tabs>
                <w:tab w:val="left" w:pos="6915"/>
              </w:tabs>
              <w:jc w:val="left"/>
              <w:rPr>
                <w:rFonts w:ascii="Arial" w:hAnsi="Arial" w:eastAsia="宋体" w:cs="Arial"/>
                <w:szCs w:val="21"/>
                <w:shd w:val="clear" w:color="auto" w:fill="FFFFFF"/>
              </w:rPr>
            </w:pPr>
            <w:r>
              <w:rPr>
                <w:rFonts w:hint="eastAsia" w:ascii="宋体" w:hAnsi="宋体"/>
                <w:b/>
                <w:szCs w:val="21"/>
              </w:rPr>
              <w:t>保修</w:t>
            </w:r>
            <w:r>
              <w:rPr>
                <w:rFonts w:ascii="宋体" w:hAnsi="宋体"/>
                <w:b/>
                <w:szCs w:val="21"/>
              </w:rPr>
              <w:t>及售后服务</w:t>
            </w:r>
            <w:r>
              <w:rPr>
                <w:rFonts w:hint="eastAsia" w:ascii="宋体" w:hAnsi="宋体"/>
                <w:b/>
                <w:szCs w:val="21"/>
              </w:rPr>
              <w:t>：</w:t>
            </w:r>
            <w:r>
              <w:rPr>
                <w:rFonts w:hint="eastAsia" w:ascii="宋体" w:hAnsi="宋体"/>
                <w:bCs/>
                <w:szCs w:val="21"/>
              </w:rPr>
              <w:t>产品质保期为12个月，时间自验收合格之日起计算。质保期内货物出现质量问题的，供货方应自接到采购方异议之日起 3日内以更换等方式解决，因此所发生的费用由供货方承担。供货方免费提供必要的技术咨询以确保采购方能安全、有效的使用标的货物。</w:t>
            </w:r>
            <w:bookmarkStart w:id="1" w:name="_GoBack"/>
            <w:bookmarkEnd w:id="1"/>
          </w:p>
        </w:tc>
        <w:tc>
          <w:tcPr>
            <w:tcW w:w="1418" w:type="dxa"/>
            <w:vAlign w:val="center"/>
          </w:tcPr>
          <w:p w14:paraId="324B1D27">
            <w:pPr>
              <w:spacing w:line="240" w:lineRule="atLeast"/>
              <w:jc w:val="center"/>
            </w:pPr>
          </w:p>
        </w:tc>
        <w:tc>
          <w:tcPr>
            <w:tcW w:w="992" w:type="dxa"/>
            <w:vAlign w:val="center"/>
          </w:tcPr>
          <w:p w14:paraId="06AA2CA0">
            <w:pPr>
              <w:spacing w:line="240" w:lineRule="atLeast"/>
              <w:jc w:val="center"/>
            </w:pPr>
          </w:p>
        </w:tc>
      </w:tr>
    </w:tbl>
    <w:p w14:paraId="6DFFEB29">
      <w:pPr>
        <w:ind w:right="840"/>
        <w:rPr>
          <w:sz w:val="24"/>
        </w:rPr>
      </w:pPr>
    </w:p>
    <w:p w14:paraId="0DED7F3B">
      <w:pPr>
        <w:ind w:right="840" w:firstLine="5040" w:firstLineChars="2100"/>
        <w:rPr>
          <w:sz w:val="24"/>
        </w:rPr>
      </w:pPr>
    </w:p>
    <w:p w14:paraId="6B36AD4F">
      <w:pPr>
        <w:ind w:right="840" w:firstLine="5040" w:firstLineChars="2100"/>
        <w:rPr>
          <w:sz w:val="24"/>
        </w:rPr>
      </w:pPr>
      <w:r>
        <w:rPr>
          <w:sz w:val="24"/>
        </w:rPr>
        <w:t>公司名称</w:t>
      </w:r>
      <w:r>
        <w:rPr>
          <w:rFonts w:hint="eastAsia"/>
          <w:sz w:val="24"/>
        </w:rPr>
        <w:t>（盖章）：</w:t>
      </w:r>
    </w:p>
    <w:p w14:paraId="2BA3965A">
      <w:pPr>
        <w:ind w:right="840"/>
        <w:jc w:val="center"/>
        <w:rPr>
          <w:sz w:val="24"/>
        </w:rPr>
      </w:pPr>
      <w:r>
        <w:rPr>
          <w:rFonts w:hint="eastAsia"/>
          <w:sz w:val="24"/>
        </w:rPr>
        <w:t xml:space="preserve"> </w:t>
      </w:r>
      <w:r>
        <w:rPr>
          <w:sz w:val="24"/>
        </w:rPr>
        <w:t xml:space="preserve">                            日期</w:t>
      </w:r>
      <w:r>
        <w:rPr>
          <w:rFonts w:hint="eastAsia"/>
          <w:sz w:val="24"/>
        </w:rPr>
        <w:t>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icrosoftYaHei">
    <w:altName w:val="宋体"/>
    <w:panose1 w:val="00000000000000000000"/>
    <w:charset w:val="86"/>
    <w:family w:val="roman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1437"/>
    <w:rsid w:val="000110C4"/>
    <w:rsid w:val="00015CB8"/>
    <w:rsid w:val="00020783"/>
    <w:rsid w:val="00025804"/>
    <w:rsid w:val="00050922"/>
    <w:rsid w:val="00086882"/>
    <w:rsid w:val="00090223"/>
    <w:rsid w:val="00091C8D"/>
    <w:rsid w:val="000E54CE"/>
    <w:rsid w:val="00102C13"/>
    <w:rsid w:val="00123779"/>
    <w:rsid w:val="001501D1"/>
    <w:rsid w:val="001548E0"/>
    <w:rsid w:val="001B219D"/>
    <w:rsid w:val="001D3367"/>
    <w:rsid w:val="002026B2"/>
    <w:rsid w:val="002212AC"/>
    <w:rsid w:val="00261EE1"/>
    <w:rsid w:val="00267E42"/>
    <w:rsid w:val="002D1729"/>
    <w:rsid w:val="002E518A"/>
    <w:rsid w:val="003009AA"/>
    <w:rsid w:val="003438B5"/>
    <w:rsid w:val="00363C73"/>
    <w:rsid w:val="003923FC"/>
    <w:rsid w:val="003C2330"/>
    <w:rsid w:val="003C7C5A"/>
    <w:rsid w:val="004626C3"/>
    <w:rsid w:val="00474B94"/>
    <w:rsid w:val="004973C3"/>
    <w:rsid w:val="004B0D2F"/>
    <w:rsid w:val="00516FB3"/>
    <w:rsid w:val="00547A75"/>
    <w:rsid w:val="00584F75"/>
    <w:rsid w:val="005C4758"/>
    <w:rsid w:val="005C4AA6"/>
    <w:rsid w:val="005E2C0C"/>
    <w:rsid w:val="005F14E0"/>
    <w:rsid w:val="005F7E7B"/>
    <w:rsid w:val="006074C0"/>
    <w:rsid w:val="00630F8F"/>
    <w:rsid w:val="00642CDA"/>
    <w:rsid w:val="00670B3D"/>
    <w:rsid w:val="006C07B4"/>
    <w:rsid w:val="006D67E0"/>
    <w:rsid w:val="00705387"/>
    <w:rsid w:val="00720BC4"/>
    <w:rsid w:val="007230C5"/>
    <w:rsid w:val="00731AE1"/>
    <w:rsid w:val="00744E8E"/>
    <w:rsid w:val="00750961"/>
    <w:rsid w:val="00757D88"/>
    <w:rsid w:val="007A4C29"/>
    <w:rsid w:val="007B2AE3"/>
    <w:rsid w:val="00811B08"/>
    <w:rsid w:val="00825420"/>
    <w:rsid w:val="00832C3E"/>
    <w:rsid w:val="00872767"/>
    <w:rsid w:val="00877DA3"/>
    <w:rsid w:val="00886A2E"/>
    <w:rsid w:val="008A717C"/>
    <w:rsid w:val="008D62B6"/>
    <w:rsid w:val="008E3DB8"/>
    <w:rsid w:val="008F0FFC"/>
    <w:rsid w:val="008F5C2B"/>
    <w:rsid w:val="009149BA"/>
    <w:rsid w:val="00961437"/>
    <w:rsid w:val="00965011"/>
    <w:rsid w:val="00995429"/>
    <w:rsid w:val="00996AC3"/>
    <w:rsid w:val="009B6E26"/>
    <w:rsid w:val="009C3224"/>
    <w:rsid w:val="009C4C31"/>
    <w:rsid w:val="009F0C82"/>
    <w:rsid w:val="009F5C3A"/>
    <w:rsid w:val="00A01094"/>
    <w:rsid w:val="00A11447"/>
    <w:rsid w:val="00A20D98"/>
    <w:rsid w:val="00A27625"/>
    <w:rsid w:val="00A44E8A"/>
    <w:rsid w:val="00A533CA"/>
    <w:rsid w:val="00A8112C"/>
    <w:rsid w:val="00AC1D37"/>
    <w:rsid w:val="00AC67EF"/>
    <w:rsid w:val="00AF7A8B"/>
    <w:rsid w:val="00B04741"/>
    <w:rsid w:val="00B311D0"/>
    <w:rsid w:val="00B64004"/>
    <w:rsid w:val="00B7785A"/>
    <w:rsid w:val="00B90DC2"/>
    <w:rsid w:val="00B971DE"/>
    <w:rsid w:val="00BA1B3F"/>
    <w:rsid w:val="00BC2767"/>
    <w:rsid w:val="00C102A3"/>
    <w:rsid w:val="00C1298E"/>
    <w:rsid w:val="00C26D9F"/>
    <w:rsid w:val="00C442AD"/>
    <w:rsid w:val="00CA3288"/>
    <w:rsid w:val="00CA3E3B"/>
    <w:rsid w:val="00D011DC"/>
    <w:rsid w:val="00D04097"/>
    <w:rsid w:val="00D24D09"/>
    <w:rsid w:val="00D72E1E"/>
    <w:rsid w:val="00D81354"/>
    <w:rsid w:val="00E00131"/>
    <w:rsid w:val="00E147A9"/>
    <w:rsid w:val="00E5012E"/>
    <w:rsid w:val="00E762FD"/>
    <w:rsid w:val="00E930C8"/>
    <w:rsid w:val="00EA412A"/>
    <w:rsid w:val="00EA6BA9"/>
    <w:rsid w:val="00F347F0"/>
    <w:rsid w:val="00F34AE9"/>
    <w:rsid w:val="00F357B0"/>
    <w:rsid w:val="00F43549"/>
    <w:rsid w:val="00F50B62"/>
    <w:rsid w:val="00F70F95"/>
    <w:rsid w:val="00F829DE"/>
    <w:rsid w:val="00F82AA6"/>
    <w:rsid w:val="00F855E3"/>
    <w:rsid w:val="00FC7C08"/>
    <w:rsid w:val="00FE15FA"/>
    <w:rsid w:val="0C7718F8"/>
    <w:rsid w:val="2D070EC5"/>
    <w:rsid w:val="42EF5B20"/>
    <w:rsid w:val="46BB5348"/>
    <w:rsid w:val="51936088"/>
    <w:rsid w:val="668D6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qFormat/>
    <w:uiPriority w:val="99"/>
    <w:pPr>
      <w:spacing w:beforeAutospacing="1" w:afterAutospacing="1" w:line="278" w:lineRule="auto"/>
      <w:jc w:val="left"/>
    </w:pPr>
    <w:rPr>
      <w:rFonts w:ascii="Times New Roman" w:hAnsi="Times New Roman" w:eastAsia="宋体" w:cs="Times New Roman"/>
      <w:kern w:val="0"/>
      <w:sz w:val="24"/>
      <w:szCs w:val="24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fontstyle01"/>
    <w:basedOn w:val="7"/>
    <w:qFormat/>
    <w:uiPriority w:val="0"/>
    <w:rPr>
      <w:rFonts w:hint="default" w:ascii="MicrosoftYaHei" w:hAnsi="MicrosoftYaHei"/>
      <w:color w:val="000000"/>
      <w:sz w:val="22"/>
      <w:szCs w:val="22"/>
    </w:rPr>
  </w:style>
  <w:style w:type="character" w:customStyle="1" w:styleId="9">
    <w:name w:val="页眉 字符"/>
    <w:basedOn w:val="7"/>
    <w:link w:val="3"/>
    <w:qFormat/>
    <w:uiPriority w:val="99"/>
    <w:rPr>
      <w:sz w:val="18"/>
      <w:szCs w:val="18"/>
    </w:rPr>
  </w:style>
  <w:style w:type="character" w:customStyle="1" w:styleId="10">
    <w:name w:val="页脚 字符"/>
    <w:basedOn w:val="7"/>
    <w:link w:val="2"/>
    <w:qFormat/>
    <w:uiPriority w:val="99"/>
    <w:rPr>
      <w:sz w:val="18"/>
      <w:szCs w:val="18"/>
    </w:rPr>
  </w:style>
  <w:style w:type="paragraph" w:styleId="11">
    <w:name w:val="List Paragraph"/>
    <w:basedOn w:val="1"/>
    <w:autoRedefine/>
    <w:qFormat/>
    <w:uiPriority w:val="34"/>
    <w:pPr>
      <w:tabs>
        <w:tab w:val="left" w:pos="1428"/>
      </w:tabs>
      <w:ind w:firstLine="420" w:firstLineChars="200"/>
      <w:jc w:val="left"/>
    </w:pPr>
    <w:rPr>
      <w:rFonts w:ascii="Times New Roman" w:hAnsi="Times New Roman" w:eastAsia="宋体" w:cs="Times New Roman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2</Pages>
  <Words>434</Words>
  <Characters>486</Characters>
  <Lines>4</Lines>
  <Paragraphs>1</Paragraphs>
  <TotalTime>0</TotalTime>
  <ScaleCrop>false</ScaleCrop>
  <LinksUpToDate>false</LinksUpToDate>
  <CharactersWithSpaces>515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2024-07-15T01:36:00Z</dcterms:created>
  <dc:creator>China</dc:creator>
  <cp:lastModifiedBy>陈文佳</cp:lastModifiedBy>
  <dcterms:modified xsi:type="dcterms:W3CDTF">2026-08-11T03:16:18Z</dcterms:modified>
  <cp:revision>34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eyJoZGlkIjoiMzc0OTQ1OWZiNDc3Y2MyZmZmZWIzYzRlODQ4NDE3OTYiLCJ1c2VySWQiOiIxNzc0OTA2Mjk1In0=</vt:lpwstr>
  </property>
  <property fmtid="{D5CDD505-2E9C-101B-9397-08002B2CF9AE}" pid="3" name="KSOProductBuildVer">
    <vt:lpwstr>2052-12.1.0.23542</vt:lpwstr>
  </property>
  <property fmtid="{D5CDD505-2E9C-101B-9397-08002B2CF9AE}" pid="4" name="ICV">
    <vt:lpwstr>20B1B4D6E71F47CB8E65CCEFBC87FC75_12</vt:lpwstr>
  </property>
</Properties>
</file>